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A2" w:rsidRPr="004B252B" w:rsidRDefault="004B252B" w:rsidP="004B252B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252B">
        <w:rPr>
          <w:rFonts w:ascii="Times New Roman" w:hAnsi="Times New Roman" w:cs="Times New Roman"/>
          <w:bCs/>
          <w:sz w:val="28"/>
          <w:szCs w:val="28"/>
        </w:rPr>
        <w:t>ИЗВЕЩЕНИЕ</w:t>
      </w:r>
    </w:p>
    <w:p w:rsidR="004B252B" w:rsidRPr="004B252B" w:rsidRDefault="004B252B" w:rsidP="004B252B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B252B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проведении отбора лучшего масштабного инвестиционного проекта, предлагаемого к реализации на земельном участке по адресу:  Курская область, </w:t>
      </w:r>
      <w:proofErr w:type="spellStart"/>
      <w:r w:rsidRPr="004B252B">
        <w:rPr>
          <w:rFonts w:ascii="Times New Roman" w:hAnsi="Times New Roman" w:cs="Times New Roman"/>
          <w:b w:val="0"/>
          <w:bCs/>
          <w:sz w:val="28"/>
          <w:szCs w:val="28"/>
        </w:rPr>
        <w:t>Фатежский</w:t>
      </w:r>
      <w:proofErr w:type="spellEnd"/>
      <w:r w:rsidRPr="004B252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район, </w:t>
      </w:r>
      <w:proofErr w:type="spellStart"/>
      <w:r w:rsidRPr="004B252B">
        <w:rPr>
          <w:rFonts w:ascii="Times New Roman" w:hAnsi="Times New Roman" w:cs="Times New Roman"/>
          <w:b w:val="0"/>
          <w:bCs/>
          <w:sz w:val="28"/>
          <w:szCs w:val="28"/>
        </w:rPr>
        <w:t>Миленинский</w:t>
      </w:r>
      <w:proofErr w:type="spellEnd"/>
      <w:r w:rsidRPr="004B252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сельсовет, кадастровый номер 46:25:130402:1</w:t>
      </w:r>
    </w:p>
    <w:p w:rsidR="004B252B" w:rsidRDefault="004B252B" w:rsidP="008978A2">
      <w:pPr>
        <w:pStyle w:val="ConsPlusTitle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7"/>
        <w:gridCol w:w="3368"/>
        <w:gridCol w:w="1463"/>
        <w:gridCol w:w="4904"/>
      </w:tblGrid>
      <w:tr w:rsidR="004B252B" w:rsidRPr="008978A2" w:rsidTr="00023084">
        <w:tc>
          <w:tcPr>
            <w:tcW w:w="10172" w:type="dxa"/>
            <w:gridSpan w:val="4"/>
            <w:shd w:val="clear" w:color="auto" w:fill="EEECE1" w:themeFill="background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Theme="minorEastAsia" w:hAnsiTheme="minorEastAsia" w:cstheme="minorEastAsia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аименование, место нахождения, почтовый адрес, адрес электронной почты и номер контактного телефона Министерства строительства Курской области, осуществляющего прием заявлений об участии в отборе</w:t>
            </w:r>
            <w:r w:rsidRPr="00897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аименование</w:t>
            </w:r>
          </w:p>
        </w:tc>
        <w:tc>
          <w:tcPr>
            <w:tcW w:w="6202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Министерство строительства Курской области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есто нахождения</w:t>
            </w:r>
          </w:p>
        </w:tc>
        <w:tc>
          <w:tcPr>
            <w:tcW w:w="6202" w:type="dxa"/>
            <w:gridSpan w:val="2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г. Курск, ул. Марата, д. 9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Время работы: 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Понедельник-пятница: с 9-00 до 18-00, 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перерыв с 13-00 до 14-00, </w:t>
            </w: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выходные дни: суббота, воскресенье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очтовый адрес</w:t>
            </w:r>
          </w:p>
        </w:tc>
        <w:tc>
          <w:tcPr>
            <w:tcW w:w="6202" w:type="dxa"/>
            <w:gridSpan w:val="2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305000, г. Курск, ул. Марата, д. 9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дрес электронной почты</w:t>
            </w:r>
          </w:p>
        </w:tc>
        <w:tc>
          <w:tcPr>
            <w:tcW w:w="6202" w:type="dxa"/>
            <w:gridSpan w:val="2"/>
          </w:tcPr>
          <w:p w:rsidR="004B252B" w:rsidRPr="00942D47" w:rsidRDefault="008846C2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6" w:history="1">
              <w:r w:rsidR="004B252B" w:rsidRPr="00942D47">
                <w:rPr>
                  <w:rStyle w:val="a7"/>
                  <w:rFonts w:ascii="Times New Roman" w:hAnsi="Times New Roman" w:cs="Times New Roman"/>
                  <w:b w:val="0"/>
                  <w:sz w:val="26"/>
                  <w:szCs w:val="26"/>
                  <w:bdr w:val="none" w:sz="0" w:space="0" w:color="auto" w:frame="1"/>
                </w:rPr>
                <w:t>stroykomitet@rkursk.ru</w:t>
              </w:r>
            </w:hyperlink>
            <w:r w:rsidR="004B252B" w:rsidRPr="00942D4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омер контактного телефона</w:t>
            </w:r>
          </w:p>
        </w:tc>
        <w:tc>
          <w:tcPr>
            <w:tcW w:w="6202" w:type="dxa"/>
            <w:gridSpan w:val="2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 (4712) 700-795</w:t>
            </w:r>
          </w:p>
        </w:tc>
      </w:tr>
      <w:tr w:rsidR="004B252B" w:rsidRPr="008978A2" w:rsidTr="00023084">
        <w:tc>
          <w:tcPr>
            <w:tcW w:w="10172" w:type="dxa"/>
            <w:gridSpan w:val="4"/>
            <w:shd w:val="clear" w:color="auto" w:fill="EEECE1" w:themeFill="background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 М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есто расположения, кадастровый номер, площадь, вид разрешенного использования, категория земель земельного участка, на котором планируется реализовывать масштабный инвестиционный проект и установленные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br/>
              <w:t>в отношении земельного участка градостроительные параметры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есто расположения</w:t>
            </w:r>
          </w:p>
        </w:tc>
        <w:tc>
          <w:tcPr>
            <w:tcW w:w="6202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Курская область, </w:t>
            </w:r>
            <w:proofErr w:type="spellStart"/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Фатежский</w:t>
            </w:r>
            <w:proofErr w:type="spellEnd"/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район, </w:t>
            </w:r>
            <w:proofErr w:type="spellStart"/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Миленинский</w:t>
            </w:r>
            <w:proofErr w:type="spellEnd"/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сельсовет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адастровый номер</w:t>
            </w:r>
          </w:p>
        </w:tc>
        <w:tc>
          <w:tcPr>
            <w:tcW w:w="6202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46:25:130402:1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6202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</w:t>
            </w:r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000 </w:t>
            </w:r>
            <w:proofErr w:type="spellStart"/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кв</w:t>
            </w:r>
            <w:proofErr w:type="gramStart"/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ид разрешенного использования</w:t>
            </w:r>
          </w:p>
        </w:tc>
        <w:tc>
          <w:tcPr>
            <w:tcW w:w="6202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для индивидуального жилищного строительства.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атегория земель </w:t>
            </w:r>
          </w:p>
        </w:tc>
        <w:tc>
          <w:tcPr>
            <w:tcW w:w="6202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населенных пунктов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в отношении земельного участка градостроительные параметры</w:t>
            </w:r>
          </w:p>
        </w:tc>
        <w:tc>
          <w:tcPr>
            <w:tcW w:w="6202" w:type="dxa"/>
            <w:gridSpan w:val="2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Функциональная зона: Ж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«З</w:t>
            </w:r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она малоэтажной жилой застройки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Максимальная этажность для ИЖС: до 3 этажей</w:t>
            </w:r>
          </w:p>
          <w:p w:rsidR="004B252B" w:rsidRPr="00756641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Максимальный процент застройки: 50%</w:t>
            </w:r>
          </w:p>
          <w:p w:rsidR="004B252B" w:rsidRPr="00756641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Минимальная площадь участка для ИЖС: 300 </w:t>
            </w:r>
            <w:proofErr w:type="spellStart"/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кв</w:t>
            </w:r>
            <w:proofErr w:type="gramStart"/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.м</w:t>
            </w:r>
            <w:proofErr w:type="spellEnd"/>
            <w:proofErr w:type="gramEnd"/>
          </w:p>
          <w:p w:rsidR="004B252B" w:rsidRPr="00756641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Максимальная площадь участка: для ИЖС: 5000 </w:t>
            </w:r>
            <w:proofErr w:type="spellStart"/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кв</w:t>
            </w:r>
            <w:proofErr w:type="gramStart"/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.м</w:t>
            </w:r>
            <w:proofErr w:type="spellEnd"/>
            <w:proofErr w:type="gramEnd"/>
          </w:p>
          <w:p w:rsidR="004B252B" w:rsidRPr="00756641" w:rsidRDefault="004B252B" w:rsidP="00023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>инимальное расстояние от границ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основного строения - 3 метра; 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>хозяйственных и прочих строений - 1 м; отдельно стоящего гаража - 1 м; выгребной ямы,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>дворовой уборной, площадки для хранения ТБО, компостной ямы - 3 м.;</w:t>
            </w:r>
          </w:p>
          <w:p w:rsidR="004B252B" w:rsidRPr="00756641" w:rsidRDefault="004B252B" w:rsidP="00023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>ксимальная высота от уровня земли: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>до верха плоской кровли - не более 15 м;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>до конька скатной кровли - не более 19 м;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>для всех вспомогательных строений высота от уровня земли до верха плоской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t xml:space="preserve">кровли не более 4 м, до конька скатной кровли - не </w:t>
            </w:r>
            <w:r w:rsidRPr="007566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более 7 м.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Pr="00F158BF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58BF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Отступ </w:t>
            </w:r>
            <w:r w:rsidRPr="00F158BF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красной линии до линии регулирования застройки при новом строительстве составляет - 5 метров. В сложившейся застройке линию регулирования застройки допускается совмещать с красной линией;</w:t>
            </w:r>
          </w:p>
          <w:p w:rsidR="004B252B" w:rsidRPr="00756641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Pr="00756641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Максимальная высота ограждений земельных участков жилой застройки:</w:t>
            </w:r>
          </w:p>
          <w:p w:rsidR="004B252B" w:rsidRPr="00756641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вдоль скоростных транспортных магистралей, улиц и проездов - до 2,5 метра;</w:t>
            </w:r>
          </w:p>
          <w:p w:rsidR="004B252B" w:rsidRPr="005337A0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5664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между соседними участками застройки - 1,8 метра без согласо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вания со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смежными землепользователями. Более 1,8 метра - по согласованию со смежными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землепользователями. Для участков жилой застройки высота 1,8 метра может быть иной при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условии, если это не нарушает объемно-пространственных характеристик окружающей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застройки и ландшафта, норм инсоляции и естественной освещенности.</w:t>
            </w:r>
          </w:p>
          <w:p w:rsidR="004B252B" w:rsidRPr="005337A0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граждения, расположенные на границе смежных земельных участков,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должны быть выполнены в «прозрачном» исполнении. Максимальная высота ограждения не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применяется к ограждениям в «прозрачном» исполнении. Устройство глухих (непрозрачных)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ограждений допускается при взаимном согласии владельцев соседних земельных участков.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Непрозрачные ограждения вдоль скоростных транспортных магистралей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должны быть согласованы в установленном порядке в отделе архитектуры соответствующего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337A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округа.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Pr="00F158BF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58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Правила землепользования и застройки утверждены  решением представительского собрания  </w:t>
            </w:r>
            <w:proofErr w:type="spellStart"/>
            <w:r w:rsidRPr="00F158BF">
              <w:rPr>
                <w:rFonts w:ascii="Times New Roman" w:hAnsi="Times New Roman" w:cs="Times New Roman"/>
                <w:bCs/>
                <w:sz w:val="26"/>
                <w:szCs w:val="26"/>
              </w:rPr>
              <w:t>Фатежского</w:t>
            </w:r>
            <w:proofErr w:type="spellEnd"/>
            <w:r w:rsidRPr="00F158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Курской области от 31.08.08.2021 № 147</w:t>
            </w:r>
          </w:p>
        </w:tc>
      </w:tr>
      <w:tr w:rsidR="00E5438F" w:rsidRPr="008978A2" w:rsidTr="00023084">
        <w:tc>
          <w:tcPr>
            <w:tcW w:w="709" w:type="dxa"/>
          </w:tcPr>
          <w:p w:rsidR="00E5438F" w:rsidRDefault="00E5438F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3261" w:type="dxa"/>
          </w:tcPr>
          <w:p w:rsidR="00E5438F" w:rsidRDefault="00E5438F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6202" w:type="dxa"/>
            <w:gridSpan w:val="2"/>
          </w:tcPr>
          <w:p w:rsidR="00E5438F" w:rsidRDefault="00E5438F" w:rsidP="00E5438F">
            <w:pPr>
              <w:pStyle w:val="ConsPlusTitle"/>
              <w:tabs>
                <w:tab w:val="left" w:pos="426"/>
              </w:tabs>
              <w:ind w:firstLine="59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Срок договора аренды земельного участка будет равен сроку </w:t>
            </w:r>
            <w:r w:rsidRPr="00E543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реализации масштабного инвестиционного проекта,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который будет предложен победителем лучшего масштабного инвестиционного проекта в предложении об условиях реализации масштабного инвестиционного проекта.</w:t>
            </w:r>
          </w:p>
          <w:p w:rsidR="00E5438F" w:rsidRPr="00FE7A6C" w:rsidRDefault="00E5438F" w:rsidP="00E5438F">
            <w:pPr>
              <w:pStyle w:val="ConsPlusTitle"/>
              <w:tabs>
                <w:tab w:val="left" w:pos="426"/>
              </w:tabs>
              <w:ind w:firstLine="59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Размер арендной платы определяется в соответствии с постановлением Администрации  Курской области  от 27.03.2017 № 249-па (в ред. постановления Администрации Курской области от 22.04.2025 № 307-пп).</w:t>
            </w:r>
          </w:p>
          <w:p w:rsidR="00E5438F" w:rsidRDefault="00E5438F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  <w:tr w:rsidR="004B252B" w:rsidRPr="008978A2" w:rsidTr="00023084">
        <w:tc>
          <w:tcPr>
            <w:tcW w:w="10172" w:type="dxa"/>
            <w:gridSpan w:val="4"/>
            <w:shd w:val="clear" w:color="auto" w:fill="EEECE1" w:themeFill="background2"/>
            <w:vAlign w:val="center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ІІІ И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меющиеся 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Cs/>
                <w:sz w:val="26"/>
                <w:szCs w:val="26"/>
              </w:rPr>
              <w:t>Газоснабжение:</w:t>
            </w: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2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газопровод высокого давления 2-й категории Ф159мм. Расстояние до участка 2 км.</w:t>
            </w:r>
          </w:p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АО «Газпром газораспределение Курск»</w:t>
            </w:r>
          </w:p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Электроснабжение:</w:t>
            </w:r>
          </w:p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2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ПС «Фатеж», </w:t>
            </w:r>
            <w:proofErr w:type="gramStart"/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ВЛ</w:t>
            </w:r>
            <w:proofErr w:type="gramEnd"/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10 </w:t>
            </w:r>
            <w:proofErr w:type="spellStart"/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кВ</w:t>
            </w:r>
            <w:proofErr w:type="spellEnd"/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3.1.31. Расстояние 0,3 и 0,65 км</w:t>
            </w:r>
          </w:p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филиал ПАО «</w:t>
            </w:r>
            <w:proofErr w:type="spellStart"/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Россети</w:t>
            </w:r>
            <w:proofErr w:type="spellEnd"/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центр»- «Курскэнерго»</w:t>
            </w:r>
          </w:p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Cs/>
                <w:sz w:val="26"/>
                <w:szCs w:val="26"/>
              </w:rPr>
              <w:t>Водоснабжение:</w:t>
            </w:r>
          </w:p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2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отсут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ствует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Водоотведение</w:t>
            </w:r>
          </w:p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отсут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ствует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Теплоснабжение</w:t>
            </w:r>
          </w:p>
        </w:tc>
        <w:tc>
          <w:tcPr>
            <w:tcW w:w="6202" w:type="dxa"/>
            <w:gridSpan w:val="2"/>
          </w:tcPr>
          <w:p w:rsidR="004B252B" w:rsidRPr="00942D47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42D4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отсут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ствует</w:t>
            </w:r>
          </w:p>
        </w:tc>
      </w:tr>
      <w:tr w:rsidR="004B252B" w:rsidRPr="008978A2" w:rsidTr="00023084">
        <w:tc>
          <w:tcPr>
            <w:tcW w:w="10172" w:type="dxa"/>
            <w:gridSpan w:val="4"/>
            <w:shd w:val="clear" w:color="auto" w:fill="EEECE1" w:themeFill="background2"/>
            <w:vAlign w:val="center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ІV. У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становленные критерии отбора лучшего масштабного инвестиционного проекта, а также параметры строительства объектов на земельном участке, включая требования о создании объектов благоустройства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9463" w:type="dxa"/>
            <w:gridSpan w:val="3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tbl>
            <w:tblPr>
              <w:tblStyle w:val="a3"/>
              <w:tblW w:w="9163" w:type="dxa"/>
              <w:tblLook w:val="04A0" w:firstRow="1" w:lastRow="0" w:firstColumn="1" w:lastColumn="0" w:noHBand="0" w:noVBand="1"/>
            </w:tblPr>
            <w:tblGrid>
              <w:gridCol w:w="3749"/>
              <w:gridCol w:w="1367"/>
              <w:gridCol w:w="1997"/>
              <w:gridCol w:w="2050"/>
            </w:tblGrid>
            <w:tr w:rsidR="004B252B" w:rsidRPr="00472D03" w:rsidTr="00023084">
              <w:tc>
                <w:tcPr>
                  <w:tcW w:w="374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1367" w:type="dxa"/>
                  <w:vAlign w:val="center"/>
                </w:tcPr>
                <w:p w:rsidR="004B252B" w:rsidRPr="00472D03" w:rsidRDefault="004B252B" w:rsidP="00023084">
                  <w:pPr>
                    <w:pStyle w:val="ConsPlusNormal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Показатель измерения</w:t>
                  </w:r>
                </w:p>
              </w:tc>
              <w:tc>
                <w:tcPr>
                  <w:tcW w:w="1997" w:type="dxa"/>
                  <w:vAlign w:val="center"/>
                </w:tcPr>
                <w:p w:rsidR="004B252B" w:rsidRPr="00472D03" w:rsidRDefault="004B252B" w:rsidP="00023084">
                  <w:pPr>
                    <w:pStyle w:val="ConsPlusNormal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Минимальное значение</w:t>
                  </w:r>
                </w:p>
              </w:tc>
              <w:tc>
                <w:tcPr>
                  <w:tcW w:w="2050" w:type="dxa"/>
                  <w:vAlign w:val="center"/>
                </w:tcPr>
                <w:p w:rsidR="004B252B" w:rsidRPr="00472D03" w:rsidRDefault="004B252B" w:rsidP="00023084">
                  <w:pPr>
                    <w:pStyle w:val="ConsPlusNormal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Максимальное значение</w:t>
                  </w:r>
                </w:p>
              </w:tc>
            </w:tr>
            <w:tr w:rsidR="004B252B" w:rsidRPr="00472D03" w:rsidTr="00023084">
              <w:tc>
                <w:tcPr>
                  <w:tcW w:w="3749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FE7A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квадратных метров жилой площади, которые будут  реализованы </w:t>
                  </w: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гражданам, жилые помещения которых утрачены 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Курской области, 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</w:t>
                  </w:r>
                  <w:proofErr w:type="gramEnd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из которой произведен расчет размера полученной ими выплаты, </w:t>
                  </w:r>
                  <w:proofErr w:type="gram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вводимых</w:t>
                  </w:r>
                  <w:proofErr w:type="gramEnd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 эксплуатацию при реализации масштабного инвестиционного проекта.</w:t>
                  </w:r>
                </w:p>
              </w:tc>
              <w:tc>
                <w:tcPr>
                  <w:tcW w:w="1367" w:type="dxa"/>
                  <w:vAlign w:val="center"/>
                </w:tcPr>
                <w:p w:rsidR="004B252B" w:rsidRPr="00FE7A6C" w:rsidRDefault="004B252B" w:rsidP="00023084">
                  <w:pPr>
                    <w:pStyle w:val="ConsPlusNormal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997" w:type="dxa"/>
                  <w:vAlign w:val="center"/>
                </w:tcPr>
                <w:p w:rsidR="004B252B" w:rsidRPr="00FE7A6C" w:rsidRDefault="004B252B" w:rsidP="00023084">
                  <w:pPr>
                    <w:pStyle w:val="ConsPlusNormal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менее 20% от жилой площади, вводимой в эксплуатацию при реализации масштабного инвестиционного проекта</w:t>
                  </w:r>
                </w:p>
              </w:tc>
              <w:tc>
                <w:tcPr>
                  <w:tcW w:w="2050" w:type="dxa"/>
                  <w:vAlign w:val="center"/>
                </w:tcPr>
                <w:p w:rsidR="004B252B" w:rsidRPr="00FE7A6C" w:rsidRDefault="004B252B" w:rsidP="00023084">
                  <w:pPr>
                    <w:pStyle w:val="ConsPlusNormal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более 100% жилой площади, вводимой в эксплуатацию при реализации масштабного инвестиционного проекта</w:t>
                  </w:r>
                </w:p>
                <w:p w:rsidR="004B252B" w:rsidRPr="00FE7A6C" w:rsidRDefault="004B252B" w:rsidP="00023084">
                  <w:pPr>
                    <w:pStyle w:val="ConsPlusNormal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B252B" w:rsidRPr="00FE7A6C" w:rsidRDefault="004B252B" w:rsidP="00023084">
                  <w:pPr>
                    <w:pStyle w:val="ConsPlusNormal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18 900 </w:t>
                  </w:r>
                  <w:proofErr w:type="spell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4B252B" w:rsidRPr="00472D03" w:rsidTr="00023084">
              <w:tc>
                <w:tcPr>
                  <w:tcW w:w="3749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начала реализации масштабного инвестиционного проекта</w:t>
                  </w:r>
                </w:p>
              </w:tc>
              <w:tc>
                <w:tcPr>
                  <w:tcW w:w="1367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97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50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4B252B" w:rsidRPr="00472D03" w:rsidTr="00023084">
              <w:tc>
                <w:tcPr>
                  <w:tcW w:w="3749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Общий срок реализации масштабного инвестиционного проекта</w:t>
                  </w:r>
                </w:p>
              </w:tc>
              <w:tc>
                <w:tcPr>
                  <w:tcW w:w="1367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97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50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4B252B" w:rsidRPr="00472D03" w:rsidTr="00023084">
              <w:tc>
                <w:tcPr>
                  <w:tcW w:w="3749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</w:t>
                  </w:r>
                  <w:r w:rsidRPr="00FE7A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чество квадратных метров жилой площади, вводимых в эксплуатацию при реализации масштабного инвестиционного проекта</w:t>
                  </w:r>
                </w:p>
              </w:tc>
              <w:tc>
                <w:tcPr>
                  <w:tcW w:w="1367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997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50" w:type="dxa"/>
                  <w:vAlign w:val="center"/>
                </w:tcPr>
                <w:p w:rsidR="004B252B" w:rsidRPr="00FE7A6C" w:rsidRDefault="004B252B" w:rsidP="00023084">
                  <w:pPr>
                    <w:pStyle w:val="a6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18 900 </w:t>
                  </w:r>
                  <w:proofErr w:type="spell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FE7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4B252B" w:rsidRPr="00472D03" w:rsidTr="00023084">
              <w:tc>
                <w:tcPr>
                  <w:tcW w:w="374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Опыт </w:t>
                  </w:r>
                  <w:r w:rsidRPr="00472D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строительства жилых объектов в качестве застройщика и (или) подрядчика</w:t>
                  </w:r>
                  <w:r w:rsidRPr="00472D0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r w:rsidRPr="00472D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определяемый в квадратных метрах общей жилой площади построенного жилья за последние пять лет, предшествующих дате размещения извещения о проведении отбора лучшего масштабного инвестиционного проекта</w:t>
                  </w:r>
                </w:p>
              </w:tc>
              <w:tc>
                <w:tcPr>
                  <w:tcW w:w="1367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997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50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4B252B" w:rsidRPr="00472D03" w:rsidTr="00023084">
              <w:tc>
                <w:tcPr>
                  <w:tcW w:w="374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в качестве налогоплательщика на территории Курской области или обязательство 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регистрации в качестве налогоплательщика на территории Курской области в течение трех месяцев с даты</w:t>
                  </w:r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заключения Соглашения</w:t>
                  </w:r>
                </w:p>
              </w:tc>
              <w:tc>
                <w:tcPr>
                  <w:tcW w:w="1367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97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-8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50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4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  <w:tr w:rsidR="004B252B" w:rsidRPr="008978A2" w:rsidTr="00023084">
        <w:tc>
          <w:tcPr>
            <w:tcW w:w="10172" w:type="dxa"/>
            <w:gridSpan w:val="4"/>
            <w:shd w:val="clear" w:color="auto" w:fill="EEECE1" w:themeFill="background2"/>
            <w:vAlign w:val="center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V. У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становленный порядок присвоения баллов предложениям об условиях реализации масштабного инвестиционного проекта по каждому из установленных критериев отбора лучшего масштабного инвестиционного проекта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9463" w:type="dxa"/>
            <w:gridSpan w:val="3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tbl>
            <w:tblPr>
              <w:tblStyle w:val="a3"/>
              <w:tblW w:w="9509" w:type="dxa"/>
              <w:tblLook w:val="04A0" w:firstRow="1" w:lastRow="0" w:firstColumn="1" w:lastColumn="0" w:noHBand="0" w:noVBand="1"/>
            </w:tblPr>
            <w:tblGrid>
              <w:gridCol w:w="3769"/>
              <w:gridCol w:w="1838"/>
              <w:gridCol w:w="3902"/>
            </w:tblGrid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1838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аксимальный балл</w:t>
                  </w:r>
                </w:p>
              </w:tc>
              <w:tc>
                <w:tcPr>
                  <w:tcW w:w="3902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Присвоение баллов</w:t>
                  </w:r>
                  <w:r w:rsidR="002F6F0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2F6F04" w:rsidRPr="009D58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ЦБi</w:t>
                  </w:r>
                  <w:proofErr w:type="spellEnd"/>
                  <w:r w:rsidR="002F6F04" w:rsidRPr="009D58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-балл, </w:t>
                  </w:r>
                  <w:proofErr w:type="gramStart"/>
                  <w:r w:rsidR="002F6F04" w:rsidRPr="009D58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присваиваемый</w:t>
                  </w:r>
                  <w:proofErr w:type="gramEnd"/>
                  <w:r w:rsidR="002F6F04" w:rsidRPr="009D58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предложению в заявлении об участии в отборе лучшего масштабного инвестиционного проекта участника отбора</w:t>
                  </w:r>
                  <w:r w:rsidR="002F6F0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квадратных метров жилой площади, которые будут  реализованы 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гражданам, жилые помещения которых утрачены 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Курской области, 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исходя</w:t>
                  </w:r>
                  <w:proofErr w:type="gramEnd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из которой произведен расчет размера полученной ими выплаты, 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вводимых</w:t>
                  </w:r>
                  <w:proofErr w:type="gramEnd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 эксплуатацию при реализации масштабного инвестиционного проекта.</w:t>
                  </w:r>
                </w:p>
              </w:tc>
              <w:tc>
                <w:tcPr>
                  <w:tcW w:w="1838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5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3902" w:type="dxa"/>
                  <w:vAlign w:val="center"/>
                </w:tcPr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72D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Определяется по формуле: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ЦБ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х 55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max</m:t>
                        </m:r>
                      </m:den>
                    </m:f>
                  </m:oMath>
                  <w:r w:rsidRPr="00472D03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предложение участника отбора, предложение, об условиях реализации масштабного инвестиционного проекта которого оценивается;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proofErr w:type="spell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ax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максимальное значение 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чества квадратных метров жилой площади, возможных к 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вводу при реализации масштабного инвестиционного проекта</w:t>
                  </w:r>
                </w:p>
              </w:tc>
            </w:tr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Срок начала реализации масштабного инвестиционного проекта</w:t>
                  </w:r>
                </w:p>
              </w:tc>
              <w:tc>
                <w:tcPr>
                  <w:tcW w:w="1838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 баллов</w:t>
                  </w:r>
                </w:p>
              </w:tc>
              <w:tc>
                <w:tcPr>
                  <w:tcW w:w="3902" w:type="dxa"/>
                  <w:vAlign w:val="center"/>
                </w:tcPr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72D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Определяется по формуле: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ЦБ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100-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Ц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-Цл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л</m:t>
                            </m:r>
                          </m:den>
                        </m:f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 5%</m:t>
                    </m:r>
                  </m:oMath>
                  <w:r w:rsidRPr="00472D03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предложение участника отбора, предложение, об условиях реализации масштабного инвестиционного проекта которого оценивается;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л</w:t>
                  </w:r>
                  <w:proofErr w:type="spell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наилучшее предложение, об условиях реализации масштабного инвестиционного проекта, предложенное участниками отбора (наименьшее количество дней)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252B" w:rsidRPr="00472D03" w:rsidRDefault="004B252B" w:rsidP="0002308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расчета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определяются в днях и отсчитываются от первого числа месяца года, в котором проводится отбор.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срок реализации масштабного инвестиционного проекта</w:t>
                  </w:r>
                </w:p>
              </w:tc>
              <w:tc>
                <w:tcPr>
                  <w:tcW w:w="1838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 баллов</w:t>
                  </w:r>
                </w:p>
              </w:tc>
              <w:tc>
                <w:tcPr>
                  <w:tcW w:w="3902" w:type="dxa"/>
                  <w:vAlign w:val="center"/>
                </w:tcPr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72D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Определяется по формуле: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ЦБ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100-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Ц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-Цл</m:t>
                                </m: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л</m:t>
                            </m:r>
                          </m:den>
                        </m:f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х30%</m:t>
                    </m:r>
                  </m:oMath>
                  <w:r w:rsidRPr="00472D03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, 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предложение участника отбора, предложение, об условиях реализации масштабного инвестиционного проекта которого оценивается;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л</w:t>
                  </w:r>
                  <w:proofErr w:type="spell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наилучшее предложение, об условиях реализации масштабного инвестиционного проекта, предложенное участниками отбора (наименьшее количество дней)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252B" w:rsidRPr="00472D03" w:rsidRDefault="004B252B" w:rsidP="00023084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расчета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определяются в днях и отсчитываются от первого числа месяца года, в котором 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проводится отбор.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Коли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чество квадратных метров жилой площади, вводимых в эксплуатацию при реализации масштабного инвестиционного проекта</w:t>
                  </w:r>
                </w:p>
              </w:tc>
              <w:tc>
                <w:tcPr>
                  <w:tcW w:w="1838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баллов</w:t>
                  </w:r>
                </w:p>
              </w:tc>
              <w:tc>
                <w:tcPr>
                  <w:tcW w:w="3902" w:type="dxa"/>
                  <w:vAlign w:val="center"/>
                </w:tcPr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72D0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Определяется по формуле: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ЦБ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max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 3</m:t>
                    </m:r>
                  </m:oMath>
                  <w:r w:rsidRPr="00472D03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где: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предложение участника отбора, предложение, об условиях реализации масштабного инвестиционного проекта которого оценивается;</w:t>
                  </w:r>
                </w:p>
                <w:p w:rsidR="004B252B" w:rsidRPr="00472D03" w:rsidRDefault="004B252B" w:rsidP="0002308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proofErr w:type="spell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ax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максимальное значение 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</w:t>
                  </w: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чества квадратных метров жилой площади, возможных к вводу при реализации масштабного инвестиционного проекта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Опыт </w:t>
                  </w:r>
                  <w:r w:rsidRPr="00472D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строительства жилых объектов в качестве застройщика и (или) подрядчика</w:t>
                  </w:r>
                  <w:r w:rsidRPr="00472D0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r w:rsidRPr="00472D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определяемый в квадратных метрах общей жилой площади построенного жилья за последние пять лет, предшествующих дате размещения извещения о проведении отбора лучшего масштабного инвестиционного проекта</w:t>
                  </w:r>
                </w:p>
              </w:tc>
              <w:tc>
                <w:tcPr>
                  <w:tcW w:w="1838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3902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0 баллов – 0 </w:t>
                  </w:r>
                  <w:proofErr w:type="spell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2,5 балла – от 1 до 40000 </w:t>
                  </w:r>
                  <w:proofErr w:type="spell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5 баллов – свыше 40001 </w:t>
                  </w:r>
                  <w:proofErr w:type="spell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в качестве налогоплательщика на территории Курской области или обязательство </w:t>
                  </w:r>
                  <w:proofErr w:type="gramStart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регистрации в качестве налогоплательщика на территории Курской области в течение трех месяцев с даты</w:t>
                  </w:r>
                  <w:proofErr w:type="gramEnd"/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заключения Соглашения</w:t>
                  </w:r>
                </w:p>
              </w:tc>
              <w:tc>
                <w:tcPr>
                  <w:tcW w:w="1838" w:type="dxa"/>
                  <w:vAlign w:val="center"/>
                </w:tcPr>
                <w:p w:rsidR="004B252B" w:rsidRPr="00472D03" w:rsidRDefault="004B252B" w:rsidP="002F6F0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балл</w:t>
                  </w:r>
                  <w:r w:rsidR="002F6F0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02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– да</w:t>
                  </w:r>
                </w:p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 баллов - нет</w:t>
                  </w:r>
                </w:p>
              </w:tc>
            </w:tr>
            <w:tr w:rsidR="004B252B" w:rsidRPr="00472D03" w:rsidTr="00023084">
              <w:tc>
                <w:tcPr>
                  <w:tcW w:w="3769" w:type="dxa"/>
                  <w:vAlign w:val="center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38" w:type="dxa"/>
                </w:tcPr>
                <w:p w:rsidR="004B252B" w:rsidRPr="00472D03" w:rsidRDefault="004B252B" w:rsidP="00023084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 баллов</w:t>
                  </w:r>
                </w:p>
              </w:tc>
              <w:tc>
                <w:tcPr>
                  <w:tcW w:w="3902" w:type="dxa"/>
                </w:tcPr>
                <w:p w:rsidR="004B252B" w:rsidRPr="00472D03" w:rsidRDefault="004B252B" w:rsidP="00023084">
                  <w:pPr>
                    <w:pStyle w:val="a6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Присваиваемые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 расчете </w:t>
                  </w:r>
                  <w:r w:rsidRPr="00472D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баллы округляются до сотых</w:t>
                  </w:r>
                </w:p>
              </w:tc>
            </w:tr>
          </w:tbl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Pr="00FE7A6C" w:rsidRDefault="004B252B" w:rsidP="00023084">
            <w:pPr>
              <w:pStyle w:val="ConsPlusTitle"/>
              <w:tabs>
                <w:tab w:val="left" w:pos="426"/>
              </w:tabs>
              <w:ind w:firstLine="590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Заявлению об участии в отборе, к которому было представлено предложение об условиях реализации масштабного инвестиционного проекта, получившее наибольшее количество баллов, присваивается первый номер.</w:t>
            </w:r>
          </w:p>
          <w:p w:rsidR="004B252B" w:rsidRPr="00FE7A6C" w:rsidRDefault="004B252B" w:rsidP="00023084">
            <w:pPr>
              <w:pStyle w:val="ConsPlusTitle"/>
              <w:tabs>
                <w:tab w:val="left" w:pos="426"/>
              </w:tabs>
              <w:ind w:firstLine="590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 случае наличия заявлений об участии в отборе, с которыми были представлены предложения об условиях реализации масштабного инвестиционного проекта, получившие равное количество баллов, такие заявления указываются с учетом хронологического порядка их подачи;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ind w:firstLine="59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Победителем отбора лучшего масштабного инвестиционного проекта является участник отбора, заявлению об участии, в отборе которого присвоен первый номер.</w:t>
            </w:r>
          </w:p>
          <w:p w:rsidR="00E5438F" w:rsidRDefault="00E5438F" w:rsidP="00023084">
            <w:pPr>
              <w:pStyle w:val="ConsPlusTitle"/>
              <w:tabs>
                <w:tab w:val="left" w:pos="426"/>
              </w:tabs>
              <w:ind w:firstLine="59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5438F" w:rsidRPr="00FE7A6C" w:rsidRDefault="00E5438F" w:rsidP="00023084">
            <w:pPr>
              <w:pStyle w:val="ConsPlusTitle"/>
              <w:tabs>
                <w:tab w:val="left" w:pos="426"/>
              </w:tabs>
              <w:ind w:firstLine="59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Срок договора аренды земельного участка будет равен сроку </w:t>
            </w:r>
            <w:r w:rsidRPr="00E543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реализации </w:t>
            </w:r>
            <w:r w:rsidRPr="00E5438F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масштабного инвестиционного проекта,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который будет предложен победителем лучшего масштабного инвестиционного проекта в предложении об условиях реализации масштабного инвестиционного проекта.</w:t>
            </w: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  <w:tr w:rsidR="004B252B" w:rsidRPr="008978A2" w:rsidTr="00023084">
        <w:tc>
          <w:tcPr>
            <w:tcW w:w="10172" w:type="dxa"/>
            <w:gridSpan w:val="4"/>
            <w:shd w:val="clear" w:color="auto" w:fill="EEECE1" w:themeFill="background2"/>
            <w:vAlign w:val="center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VІ. П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еречень документов, которые предоставляются для участия в отборе лучшего масштабного инвестиционного проекта и требования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к их оформлению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9463" w:type="dxa"/>
            <w:gridSpan w:val="3"/>
          </w:tcPr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 отборе лучшего масштабного инвестиционного проекта участник отбора представляет заявление об участии в отборе по форме согласно  приложению № 1 к </w:t>
            </w:r>
            <w:r w:rsidRPr="00D45DFA">
              <w:rPr>
                <w:rFonts w:ascii="Times New Roman" w:hAnsi="Times New Roman" w:cs="Times New Roman"/>
                <w:sz w:val="26"/>
                <w:szCs w:val="26"/>
              </w:rPr>
              <w:t>Порядк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45DFA">
              <w:rPr>
                <w:rFonts w:ascii="Times New Roman" w:hAnsi="Times New Roman" w:cs="Times New Roman"/>
                <w:sz w:val="26"/>
                <w:szCs w:val="26"/>
              </w:rPr>
              <w:t xml:space="preserve"> подтверждения соответствия масштабных инвестиционных проектов критериям, установленным пунктом 10 статьи 3 Закона Курской области от 22 июня 2015 года № 58-ЗКО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</w:t>
            </w:r>
            <w:proofErr w:type="gramEnd"/>
            <w:r w:rsidRPr="00D45DFA">
              <w:rPr>
                <w:rFonts w:ascii="Times New Roman" w:hAnsi="Times New Roman" w:cs="Times New Roman"/>
                <w:sz w:val="26"/>
                <w:szCs w:val="26"/>
              </w:rPr>
              <w:t xml:space="preserve">) которых допускается предоставление земельных участков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аренду без проведения торгов»,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5DFA">
              <w:rPr>
                <w:rFonts w:ascii="Times New Roman" w:hAnsi="Times New Roman" w:cs="Times New Roman"/>
                <w:sz w:val="26"/>
                <w:szCs w:val="26"/>
              </w:rPr>
              <w:t>Постановление Губернатора Курско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области от 06.05.2025 № 119-п (далее – Порядок),</w:t>
            </w:r>
            <w:r w:rsidRPr="00D45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с приложением: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1) копии документа, подтверждающего полномочия лица на осуществление действий от имени участника отбора (копию решения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случае если от имени участника отбора действует иное лицо, заявление об участии в отборе должно содержать также копию доверенности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br/>
              <w:t>на осуществление действий от имени участника отбора, заверенную печатью участника отбора (при наличии печати) и подписанную руководителем участника отбора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отбора, заявление на участие в отборе должно содержать также документ, подтверждающий полномочия такого лица;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2) копий учредительных документов участника отбора;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3) копии решения об одобрении или о совершении сделки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4) информации об опыте строительства жилых объектов в качестве застройщика и (или) подрядчика с приложением подтверждающих документов (разрешение на ввод объекта капитального строительства в эксплуатацию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br/>
              <w:t>и (или) договоры подряда и акты выполненных работ) (при наличии).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В опыт строительства жилых объектов в качестве застройщика и (или) подрядчика засчитывается как опыт юридического лица, так и опыт основного общества такого юридического лица либо любого из дочерних хозяйственных обществ основного общества;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5) предложения о реализации масштабного инвестиционного проекта согласно установленным критериям отбора, указанным в извещении, по форме согласно приложению  № 1 к Порядку;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6) финансово-экономической модели реализации масштабного инвестиционного проекта (в свободной форме);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7) планируемого проекта схемы планировочной организации земельного участка, на котором предполагается реализация масштабного инвестиционного проекта, с указанием мест, где будет осуществляться строительство жилых объектов для лиц, указанных в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br/>
              <w:t>подпункте 1 пункта 2.1 Порядка, иные графические материалы, отражающие предложения по строительству (в свободной форме);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8) архитектурной визуализации проекта строительства (в свободной форме);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9) плана-графика реализации масштабного инвестиционного </w:t>
            </w:r>
            <w:proofErr w:type="gramStart"/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proofErr w:type="gramEnd"/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 по форме Соглашения приложенного к данному Порядку.</w:t>
            </w:r>
          </w:p>
          <w:p w:rsidR="004B252B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Представляемые документы не должны иметь исправлений, подчисток и должны быть пронумерованы и прошиты. Копии документов должны быть заверены нотариально или руководителем юридического лица или его уполномоченным представителем и скреплены печатью (при наличии).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Документы, указанные в подпунктах 7 и 8 могут быть представлены в форме электронного документа на электронном носителе, удостоверенные электронной подписью представителя участника отбора.</w:t>
            </w:r>
          </w:p>
          <w:p w:rsidR="004B252B" w:rsidRPr="008978A2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Участник отбора несет ответственность за достоверность сведений, указанных в заявлении об участии в отборе и представляемых с ним документах в соответствии с действующим законодательством.</w:t>
            </w:r>
          </w:p>
          <w:p w:rsidR="004B252B" w:rsidRDefault="004B252B" w:rsidP="0002308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DFA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участии в отборе с прилагаемыми к нему документами подается в запечатанном конверте с указанием на нем наименования участника отбора, кадастрового номера и адреса земельного участка, на котором будет осуществляться реализация масштабного инвестиционного проекта.</w:t>
            </w: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  <w:tr w:rsidR="004B252B" w:rsidRPr="008978A2" w:rsidTr="00023084">
        <w:tc>
          <w:tcPr>
            <w:tcW w:w="10172" w:type="dxa"/>
            <w:gridSpan w:val="4"/>
            <w:shd w:val="clear" w:color="auto" w:fill="EEECE1" w:themeFill="background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VІІ Д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 и время начала и окончания срока подачи заявлений об участии в отборе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дата заседания комиссии, срок и место размещения протокола отбора лучшего инвестиционного проекта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 и время начала срока подачи заявлений об участии в отборе</w:t>
            </w:r>
          </w:p>
        </w:tc>
        <w:tc>
          <w:tcPr>
            <w:tcW w:w="4785" w:type="dxa"/>
          </w:tcPr>
          <w:p w:rsidR="004B252B" w:rsidRDefault="00821F24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="008846C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мая 2025 с 9 часов 00 минут.</w:t>
            </w:r>
          </w:p>
          <w:p w:rsidR="00821F24" w:rsidRDefault="00821F24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821F24" w:rsidRDefault="00821F24" w:rsidP="00821F2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Подача заявлений лично осуществляется в режиме рабочего времени Министерства строительства Курской области:</w:t>
            </w:r>
          </w:p>
          <w:p w:rsidR="00821F24" w:rsidRDefault="00821F24" w:rsidP="00821F2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Понедельник-пятница: с 9-00 до 18-00, </w:t>
            </w:r>
          </w:p>
          <w:p w:rsidR="00821F24" w:rsidRDefault="00821F24" w:rsidP="00821F2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перерыв с 13-00 до 14-00, </w:t>
            </w:r>
          </w:p>
          <w:p w:rsidR="00821F24" w:rsidRPr="008978A2" w:rsidRDefault="00821F24" w:rsidP="00821F2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выходные дни: суббота, воскресенье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821F24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о</w:t>
            </w:r>
          </w:p>
        </w:tc>
        <w:tc>
          <w:tcPr>
            <w:tcW w:w="4678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 и время окончания срока подачи заявлений об участии в отборе</w:t>
            </w:r>
          </w:p>
        </w:tc>
        <w:tc>
          <w:tcPr>
            <w:tcW w:w="4785" w:type="dxa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Default="00821F24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</w:t>
            </w:r>
            <w:r w:rsidR="008846C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июня 2025 года 18 часов 00 минут.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ind w:firstLine="601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45D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Участник отбора вправе изменить или отозвать заявление об участии в отборе в любое время, до дня окончания подачи заявлений об участии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45DFA">
              <w:rPr>
                <w:rFonts w:ascii="Times New Roman" w:hAnsi="Times New Roman" w:cs="Times New Roman"/>
                <w:b w:val="0"/>
                <w:sz w:val="26"/>
                <w:szCs w:val="26"/>
              </w:rPr>
              <w:t>в отборе.</w:t>
            </w: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ind w:firstLine="601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Заявления об  участии в отборе и прилагаемые к нему документы, поступившие позднее даты окончания срока подачи заявлений об участии в </w:t>
            </w:r>
            <w:r w:rsidRPr="00D45DF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отборе, указанной в извещении об отборе, независимо от причины, к регистрации и рассмотрению не принимаются, и возвращаются участнику отбора в нераспечатанном виде.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4678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Комиссии по рассмотрению заявлений об участии 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br/>
              <w:t>в отборе</w:t>
            </w:r>
          </w:p>
        </w:tc>
        <w:tc>
          <w:tcPr>
            <w:tcW w:w="4785" w:type="dxa"/>
          </w:tcPr>
          <w:p w:rsidR="004B252B" w:rsidRPr="008978A2" w:rsidRDefault="00821F24" w:rsidP="008846C2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</w:t>
            </w:r>
            <w:r w:rsidR="008846C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июня 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года 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r w:rsidRPr="008978A2">
              <w:rPr>
                <w:rFonts w:ascii="Times New Roman" w:hAnsi="Times New Roman" w:cs="Times New Roman"/>
                <w:sz w:val="26"/>
                <w:szCs w:val="26"/>
              </w:rPr>
              <w:t>ок и место размещения протокола отбора лучшего масштабного инвестиционного проекта</w:t>
            </w:r>
          </w:p>
        </w:tc>
        <w:tc>
          <w:tcPr>
            <w:tcW w:w="4785" w:type="dxa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Срок: </w:t>
            </w:r>
            <w:r w:rsidRPr="004B252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не позднее 1 рабочего дня, следующего за датой подписания протокола.</w:t>
            </w: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Место размещения:</w:t>
            </w: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Официальный сайт Министерства строительства Курской области в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телекоммуникационно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-информационной сети «Интернет»  </w:t>
            </w:r>
            <w:hyperlink r:id="rId7" w:history="1">
              <w:r w:rsidRPr="004037AA">
                <w:rPr>
                  <w:rStyle w:val="a7"/>
                  <w:rFonts w:ascii="Times New Roman" w:hAnsi="Times New Roman" w:cs="Times New Roman"/>
                  <w:b w:val="0"/>
                  <w:bCs/>
                  <w:sz w:val="26"/>
                  <w:szCs w:val="26"/>
                </w:rPr>
                <w:t>https://строй.курск.рф/</w:t>
              </w:r>
            </w:hyperlink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</w:tc>
      </w:tr>
      <w:tr w:rsidR="004B252B" w:rsidRPr="008978A2" w:rsidTr="00023084">
        <w:tc>
          <w:tcPr>
            <w:tcW w:w="709" w:type="dxa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</w:p>
        </w:tc>
        <w:tc>
          <w:tcPr>
            <w:tcW w:w="4678" w:type="dxa"/>
            <w:gridSpan w:val="2"/>
          </w:tcPr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требования к реализации масштабного инвестиционного проекта</w:t>
            </w:r>
          </w:p>
        </w:tc>
        <w:tc>
          <w:tcPr>
            <w:tcW w:w="4785" w:type="dxa"/>
          </w:tcPr>
          <w:p w:rsidR="004B252B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1) Проектом должно предусматриваться обязательное создание объектов благоустройства на территории застройки - детских площадок и  озеленения.</w:t>
            </w:r>
          </w:p>
          <w:p w:rsidR="004B252B" w:rsidRPr="008978A2" w:rsidRDefault="004B252B" w:rsidP="00023084">
            <w:pPr>
              <w:pStyle w:val="ConsPlusTitle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2) Не менее 50% жилья от общего объема, </w:t>
            </w: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котор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ый</w:t>
            </w: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бу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дет</w:t>
            </w:r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 реализован гражданам, жилые помещения которых утрачены  в результате обстрелов со стороны вооруженных формирований Украины, и гражданам, проживающим в населенных пунктах, которые подверглись или подвергаются таким обстрелам, на территории Курской области,  по средней рыночной стоимости 1 кв. метра общей площади жилого помещения, определенной Министерством строительства и жилищно-коммунального хозяйства Российской Федерации для</w:t>
            </w:r>
            <w:proofErr w:type="gramEnd"/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Курской области, </w:t>
            </w:r>
            <w:proofErr w:type="gramStart"/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исходя из которой произведен</w:t>
            </w:r>
            <w:proofErr w:type="gramEnd"/>
            <w:r w:rsidRPr="00FE7A6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расчет размера полученной ими выплаты,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должно предусматриваться в первой линии застройки. </w:t>
            </w:r>
          </w:p>
        </w:tc>
      </w:tr>
    </w:tbl>
    <w:p w:rsidR="004B252B" w:rsidRDefault="004B252B" w:rsidP="008978A2">
      <w:pPr>
        <w:pStyle w:val="ConsPlusTitle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45DFA" w:rsidRDefault="00D45DFA" w:rsidP="008978A2">
      <w:pPr>
        <w:pStyle w:val="ConsPlusTitle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45DFA" w:rsidRDefault="00D45DFA" w:rsidP="008978A2">
      <w:pPr>
        <w:pStyle w:val="ConsPlusTitle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D4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398B"/>
    <w:multiLevelType w:val="hybridMultilevel"/>
    <w:tmpl w:val="DB887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A2"/>
    <w:rsid w:val="002F6F04"/>
    <w:rsid w:val="004B252B"/>
    <w:rsid w:val="005337A0"/>
    <w:rsid w:val="00756641"/>
    <w:rsid w:val="00821F24"/>
    <w:rsid w:val="008846C2"/>
    <w:rsid w:val="008978A2"/>
    <w:rsid w:val="008B0660"/>
    <w:rsid w:val="00942D47"/>
    <w:rsid w:val="00A62059"/>
    <w:rsid w:val="00D45DFA"/>
    <w:rsid w:val="00E5438F"/>
    <w:rsid w:val="00F158BF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7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89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D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A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7A6C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4B25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7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89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D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A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7A6C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4B2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9;&#1090;&#1088;&#1086;&#1081;.&#1082;&#1091;&#1088;&#1089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komitet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Подлиняева</dc:creator>
  <cp:lastModifiedBy>Подлиняева</cp:lastModifiedBy>
  <cp:revision>3</cp:revision>
  <dcterms:created xsi:type="dcterms:W3CDTF">2025-05-15T06:06:00Z</dcterms:created>
  <dcterms:modified xsi:type="dcterms:W3CDTF">2025-05-15T06:23:00Z</dcterms:modified>
</cp:coreProperties>
</file>